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642" w:line="288" w:lineRule="exact"/>
        <w:widowControl w:val="off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 w:bidi="ru-RU"/>
        </w:rPr>
        <w:t xml:space="preserve">Форма обоснования НМЦ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 w:bidi="ru-RU"/>
        </w:rPr>
        <w:t xml:space="preserve">Обоснование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 w:bidi="ru-RU"/>
        </w:rPr>
        <w:suppressLineNumbers w:val="0"/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 w:bidi="ru-RU"/>
        </w:rPr>
        <w:t xml:space="preserve"> начальной (максимальной) цены договора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 w:bidi="ru-RU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 w:bidi="ru-RU"/>
        </w:rPr>
        <w:t xml:space="preserve">/ цены единицы товара, работы, услуги</w:t>
      </w:r>
      <w:r>
        <w:rPr>
          <w:highlight w:val="none"/>
        </w:rPr>
      </w:r>
      <w:r>
        <w:rPr>
          <w:highlight w:val="none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  <w:suppressLineNumbers w:val="0"/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</w:p>
    <w:p>
      <w:pPr>
        <w:pStyle w:val="855"/>
        <w:shd w:val="clear" w:color="auto" w:fill="auto"/>
      </w:pPr>
      <w:r>
        <w:t xml:space="preserve">1. Общая информация</w:t>
      </w:r>
      <w:r/>
    </w:p>
    <w:tbl>
      <w:tblPr>
        <w:tblStyle w:val="856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ОКПД2  33.12.18.000 Выполнение работ по ремонту </w:t>
            </w:r>
            <w:r>
              <w:rPr>
                <w:rFonts w:ascii="Times New Roman" w:hAnsi="Times New Roman" w:cs="Times New Roman"/>
              </w:rPr>
              <w:t xml:space="preserve">кондиционеров СП «ТЭЦ Восточная», г. Владивосток</w:t>
            </w:r>
            <w:r>
              <w:rPr>
                <w:rFonts w:ascii="Times New Roman" w:hAnsi="Times New Roman" w:cs="Times New Roman"/>
              </w:rPr>
            </w:r>
            <w:r/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66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1.2.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Номер лота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eastAsia="Lucida Sans Unicode" w:cs="Times New Roman"/>
              </w:rPr>
            </w:r>
            <w:r>
              <w:rPr>
                <w:rFonts w:ascii="Times New Roman" w:hAnsi="Times New Roman" w:eastAsia="Lucida Sans Unicode" w:cs="Times New Roman"/>
              </w:rPr>
              <w:t xml:space="preserve">11038003-РЕМ ПРОД-2026-ДГК-ВосТЭЦ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eastAsiaTheme="minorHAnsi"/>
                <w:sz w:val="22"/>
                <w:szCs w:val="22"/>
                <w:lang w:bidi="ru-RU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1.3.</w:t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eastAsiaTheme="minorHAnsi"/>
                <w:sz w:val="22"/>
                <w:szCs w:val="22"/>
                <w:lang w:bidi="ru-RU"/>
              </w:rPr>
            </w:pPr>
            <w:r>
              <w:rPr>
                <w:rFonts w:eastAsiaTheme="minorHAnsi"/>
              </w:rPr>
              <w:t xml:space="preserve">НМЦ</w:t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1 950 000,00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lang w:bidi="ru-RU"/>
              </w:rPr>
              <w:t xml:space="preserve"> рублей без учета НДС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</w:p>
    <w:p>
      <w:pPr>
        <w:contextualSpacing w:val="0"/>
        <w:ind w:left="0" w:right="0" w:firstLine="425"/>
        <w:jc w:val="left"/>
        <w:spacing w:before="0" w:after="57" w:line="240" w:lineRule="auto"/>
        <w:rPr>
          <w:rFonts w:ascii="Times New Roman" w:hAnsi="Times New Roman" w:cs="Times New Roman"/>
          <w:b/>
          <w:bCs/>
          <w:sz w:val="26"/>
          <w:szCs w:val="26"/>
        </w:rPr>
        <w:suppressLineNumbers w:val="0"/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  <w:t xml:space="preserve">2.1 Ресурсно-индексным методом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contextualSpacing w:val="0"/>
        <w:ind w:left="0" w:right="0" w:firstLine="440"/>
        <w:jc w:val="left"/>
        <w:spacing w:before="0" w:after="57" w:line="240" w:lineRule="auto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Обоснование расчета НМЦ: прилагаемый локальный сметный расчет (приложение №2</w:t>
      </w:r>
      <w:bookmarkStart w:id="0" w:name="undefined"/>
      <w:r>
        <w:rPr>
          <w:sz w:val="26"/>
          <w:szCs w:val="26"/>
        </w:rPr>
      </w:r>
      <w:bookmarkEnd w:id="0"/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 к Техническим требованиям)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contextualSpacing w:val="0"/>
        <w:ind w:left="0" w:right="0" w:firstLine="440"/>
        <w:jc w:val="left"/>
        <w:spacing w:before="0" w:after="57" w:line="240" w:lineRule="auto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5"/>
    <w:uiPriority w:val="99"/>
    <w:rPr>
      <w:sz w:val="18"/>
    </w:rPr>
  </w:style>
  <w:style w:type="character" w:styleId="670">
    <w:name w:val="Endnote Text Char"/>
    <w:link w:val="838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71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81"/>
    <w:uiPriority w:val="99"/>
    <w:unhideWhenUsed/>
    <w:rPr>
      <w:vertAlign w:val="superscript"/>
    </w:rPr>
  </w:style>
  <w:style w:type="paragraph" w:styleId="838">
    <w:name w:val="endnote text"/>
    <w:basedOn w:val="671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81"/>
    <w:uiPriority w:val="99"/>
    <w:semiHidden/>
    <w:unhideWhenUsed/>
    <w:rPr>
      <w:vertAlign w:val="superscript"/>
    </w:rPr>
  </w:style>
  <w:style w:type="paragraph" w:styleId="841">
    <w:name w:val="toc 1"/>
    <w:basedOn w:val="671"/>
    <w:next w:val="671"/>
    <w:uiPriority w:val="39"/>
    <w:unhideWhenUsed/>
    <w:pPr>
      <w:spacing w:after="57"/>
    </w:pPr>
  </w:style>
  <w:style w:type="paragraph" w:styleId="842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3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4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5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6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7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8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9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71"/>
    <w:next w:val="671"/>
    <w:uiPriority w:val="99"/>
    <w:unhideWhenUsed/>
    <w:pPr>
      <w:spacing w:after="0"/>
    </w:pPr>
  </w:style>
  <w:style w:type="character" w:styleId="852" w:customStyle="1">
    <w:name w:val="Основной текст (14)_"/>
    <w:basedOn w:val="681"/>
    <w:link w:val="853"/>
    <w:rPr>
      <w:rFonts w:ascii="Times New Roman" w:hAnsi="Times New Roman" w:eastAsia="Times New Roman" w:cs="Times New Roman"/>
      <w:shd w:val="clear" w:color="auto" w:fill="ffffff"/>
    </w:rPr>
  </w:style>
  <w:style w:type="paragraph" w:styleId="853" w:customStyle="1">
    <w:name w:val="Основной текст (14)"/>
    <w:basedOn w:val="671"/>
    <w:link w:val="852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4" w:customStyle="1">
    <w:name w:val="Подпись к таблице (2)_"/>
    <w:basedOn w:val="681"/>
    <w:link w:val="855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5" w:customStyle="1">
    <w:name w:val="Подпись к таблице (2)"/>
    <w:basedOn w:val="671"/>
    <w:link w:val="854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6">
    <w:name w:val="Table Grid"/>
    <w:basedOn w:val="68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7" w:customStyle="1">
    <w:name w:val="Основной текст (2)_"/>
    <w:basedOn w:val="681"/>
    <w:link w:val="85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58" w:customStyle="1">
    <w:name w:val="Основной текст (2) + 11 pt"/>
    <w:basedOn w:val="857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59" w:customStyle="1">
    <w:name w:val="Основной текст (2)"/>
    <w:basedOn w:val="671"/>
    <w:link w:val="857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character" w:styleId="860">
    <w:name w:val="annotation reference"/>
    <w:basedOn w:val="681"/>
    <w:uiPriority w:val="99"/>
    <w:semiHidden/>
    <w:unhideWhenUsed/>
    <w:rPr>
      <w:sz w:val="16"/>
      <w:szCs w:val="16"/>
    </w:rPr>
  </w:style>
  <w:style w:type="paragraph" w:styleId="861">
    <w:name w:val="annotation text"/>
    <w:basedOn w:val="671"/>
    <w:link w:val="86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62" w:customStyle="1">
    <w:name w:val="Текст примечания Знак"/>
    <w:basedOn w:val="681"/>
    <w:link w:val="861"/>
    <w:uiPriority w:val="99"/>
    <w:semiHidden/>
    <w:rPr>
      <w:sz w:val="20"/>
      <w:szCs w:val="20"/>
    </w:rPr>
  </w:style>
  <w:style w:type="paragraph" w:styleId="863">
    <w:name w:val="annotation subject"/>
    <w:basedOn w:val="861"/>
    <w:next w:val="861"/>
    <w:link w:val="864"/>
    <w:uiPriority w:val="99"/>
    <w:semiHidden/>
    <w:unhideWhenUsed/>
    <w:rPr>
      <w:b/>
      <w:bCs/>
    </w:rPr>
  </w:style>
  <w:style w:type="character" w:styleId="864" w:customStyle="1">
    <w:name w:val="Тема примечания Знак"/>
    <w:basedOn w:val="862"/>
    <w:link w:val="863"/>
    <w:uiPriority w:val="99"/>
    <w:semiHidden/>
    <w:rPr>
      <w:b/>
      <w:bCs/>
      <w:sz w:val="20"/>
      <w:szCs w:val="20"/>
    </w:rPr>
  </w:style>
  <w:style w:type="paragraph" w:styleId="865">
    <w:name w:val="Balloon Text"/>
    <w:basedOn w:val="671"/>
    <w:link w:val="86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6" w:customStyle="1">
    <w:name w:val="Текст выноски Знак"/>
    <w:basedOn w:val="681"/>
    <w:link w:val="86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stepan_dv</cp:lastModifiedBy>
  <cp:revision>15</cp:revision>
  <dcterms:created xsi:type="dcterms:W3CDTF">2023-09-26T08:17:00Z</dcterms:created>
  <dcterms:modified xsi:type="dcterms:W3CDTF">2026-05-18T05:45:12Z</dcterms:modified>
</cp:coreProperties>
</file>